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22" w:rsidRPr="000F48A9" w:rsidRDefault="006A3122" w:rsidP="00117771">
      <w:pPr>
        <w:spacing w:line="264" w:lineRule="auto"/>
        <w:jc w:val="center"/>
        <w:rPr>
          <w:rFonts w:ascii="Calibri" w:hAnsi="Calibri" w:cs="Calibri"/>
          <w:b/>
          <w:szCs w:val="24"/>
          <w:u w:val="single"/>
        </w:rPr>
      </w:pPr>
      <w:r w:rsidRPr="000F48A9">
        <w:rPr>
          <w:rFonts w:ascii="Calibri" w:hAnsi="Calibri" w:cs="Calibri"/>
          <w:b/>
          <w:szCs w:val="24"/>
          <w:u w:val="single"/>
        </w:rPr>
        <w:t>Alkalmazandó legfontosabb jogszabályok a szervezetfejlesztés és a funkcionális folyamatok szempontjából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u w:val="single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bookmarkStart w:id="0" w:name="foot_1_place"/>
      <w:bookmarkEnd w:id="0"/>
      <w:r w:rsidRPr="000F48A9">
        <w:rPr>
          <w:rFonts w:ascii="Calibri" w:hAnsi="Calibri" w:cs="Calibri"/>
          <w:b/>
          <w:szCs w:val="24"/>
          <w:shd w:val="clear" w:color="auto" w:fill="FFFFFF"/>
        </w:rPr>
        <w:t>Magyarország Alaptörvénye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1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egyebek között rendelkezik a helyi önkormányzatokról (31-35. cikk), feladat- és hatásköréről, működésének kereteiről;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Magyarország helyi önkormányzatairól szóló 2011. évi CLXXXIX. törvény;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2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meghatározza a helyi önkormányzás általános szabályait, részletes működési feltételeit, feladat- és hatásköreit (kötelező és önként vállalt feladatait) település fajtánként, meghatározza a működéshez szükséges gazdasági feltételeket, az önkormányzatok vagyonát, feladatainak finanszírozási rendszerét, a működés ellenőrzésének és felügyeletének rendszerét, az adósságrendezés esteit, feltételeit. 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Az állami vagyonról szóló 2007. évi CVI. törvény;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3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A törvény szabályozza az állam tulajdonában álló vagyon (a továbbiakban: állami vagyon) feletti tulajdonosi joggyakorlás módját és szervezetét, valamint e vagyonnal való gazdálkodást.  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4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Többek között: Az állami vagyonnal a tulajdonosi joggyakorló maga gazdálkodik, vagy szerződés - így különösen bérlet, haszonbérlet, megbízás - alapján hasznosításra átengedi, illetőleg vagyonkezelésbe, haszonélvezetbe adja.</w:t>
      </w:r>
    </w:p>
    <w:p w:rsidR="006A3122" w:rsidRPr="000F48A9" w:rsidRDefault="006A3122" w:rsidP="00117771">
      <w:pPr>
        <w:pStyle w:val="ListParagraph"/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állami vagyon hasznosítására kötött szerződések elsődleges célja az állami vagyon hatékony működtetése, állagának védelme, értékének megőrzése, illetve gyarapítása, az állami és közfeladatok ellátásának elősegítése. A tulajdonosi joggyakorló és a vagyonkezelő a vagyon hasznosítására csak olyan szerződést köthet, amely - az állami vagyon megőrzését, gyarapítását, pénzügyileg és gazdaságilag minél előnyösebb hasznosítását szem előtt tartva - az állam számára a várható bevétel, megtakarítás, vagy más előny alapján a lehető legkedvezőbb. …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5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törvény meghatározza továbbá a Magyar Nemzeti Bank szervezetét, működését, gazdálkodását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jc w:val="both"/>
        <w:rPr>
          <w:rFonts w:ascii="Calibri" w:hAnsi="Calibri" w:cs="Calibri"/>
          <w:b/>
        </w:rPr>
      </w:pP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jc w:val="both"/>
        <w:rPr>
          <w:rFonts w:ascii="Calibri" w:hAnsi="Calibri" w:cs="Calibri"/>
          <w:b/>
        </w:rPr>
      </w:pPr>
      <w:r w:rsidRPr="000F48A9">
        <w:rPr>
          <w:rFonts w:ascii="Calibri" w:hAnsi="Calibri" w:cs="Calibri"/>
          <w:b/>
        </w:rPr>
        <w:t>A nemzeti vagyonról szóló 2011. évi CXCVI. törvény;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6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0F48A9">
        <w:rPr>
          <w:rFonts w:ascii="Calibri" w:hAnsi="Calibri" w:cs="Calibri"/>
          <w:sz w:val="24"/>
          <w:szCs w:val="24"/>
        </w:rPr>
        <w:t xml:space="preserve"> A törvény szabályozza az állam és a helyi önkormányzatok tulajdonában álló vagyon (a továbbiakban: nemzeti vagyon) megőrzésének, védelmének és a nemzeti vagyonnal való felelős gazdálkodásnak a követelményeit, az állam és a helyi önkormányzatok kizárólagos tulajdonának körét, a nemzeti vagyon feletti rendelkezési jog alapvető korlátait és feltételeit, valamint az állam és a helyi önkormányzat kizárólagos gazdasági tevékenységeit.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7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0F48A9">
        <w:rPr>
          <w:rFonts w:ascii="Calibri" w:hAnsi="Calibri" w:cs="Calibri"/>
          <w:sz w:val="24"/>
          <w:szCs w:val="24"/>
        </w:rPr>
        <w:t>Nemzeti vagyonba tartozik: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a) az állam vagy a helyi önkormányzat kizárólagos tulajdonában álló dolgok,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b) az a) pont hatálya alá nem tartozó, az állam vagy a helyi önkormányzat tulajdonában lévő dolog,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c) az állam vagy a helyi önkormányzat tulajdonában lévő pénzügyi eszközök, továbbá az államot vagy a helyi önkormányzatot megillető társasági részesedések,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d) az államot vagy a helyi önkormányzatot megillető bármely vagyoni értékkel rendelkező jogosultság, amelyet jogszabály vagyoni értékű jogként nevesít,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e) Magyarország határa által körbezárt terület feletti légtér,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f) az üvegházhatású gázok kibocsátási egységeinek kereskedelméről szóló törvény szerinti kibocsátási egység és légiközlekedési kibocsátási egység, valamint az ENSZ Éghajlatváltozási Keretegyezménye és annak Kiotói Jegyzőkönyve végrehajtási keretrendszeréről szóló törvény szerinti kiotói egység,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g) állami vagy helyi önkormányzati fenntartású közgyűjtemény (muzeális intézmény, levéltár, közgyűjteményként működő kép- és hangarchívum, valamint könyvtár) saját gyűjteményében nyilvántartott kulturális javak körébe tartozó dolog,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h) a régészeti lelet,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ind w:left="993"/>
        <w:jc w:val="both"/>
        <w:rPr>
          <w:rFonts w:ascii="Calibri" w:hAnsi="Calibri" w:cs="Calibri"/>
        </w:rPr>
      </w:pPr>
      <w:r w:rsidRPr="000F48A9">
        <w:rPr>
          <w:rFonts w:ascii="Calibri" w:hAnsi="Calibri" w:cs="Calibri"/>
        </w:rPr>
        <w:t>i) a nemzeti adatvagyon körébe tartozó állami nyilvántartások fokozottabb védelméről szóló törvény szerinti nemzeti adatvagyon. …</w:t>
      </w:r>
    </w:p>
    <w:p w:rsidR="006A3122" w:rsidRPr="000F48A9" w:rsidRDefault="006A3122" w:rsidP="00117771">
      <w:pPr>
        <w:pStyle w:val="NormalWeb"/>
        <w:spacing w:before="0" w:beforeAutospacing="0" w:after="0" w:afterAutospacing="0" w:line="264" w:lineRule="auto"/>
        <w:jc w:val="center"/>
        <w:rPr>
          <w:rFonts w:ascii="Calibri" w:hAnsi="Calibri" w:cs="Calibri"/>
        </w:rPr>
      </w:pPr>
      <w:r w:rsidRPr="005D548A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55pt;height:199.5pt;visibility:visible" filled="t" fillcolor="#fac090">
            <v:imagedata r:id="rId5" o:title=""/>
          </v:shape>
        </w:pict>
      </w:r>
    </w:p>
    <w:p w:rsidR="006A3122" w:rsidRDefault="006A3122" w:rsidP="00342970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>
        <w:rPr>
          <w:rFonts w:ascii="Calibri" w:hAnsi="Calibri" w:cs="Calibri"/>
          <w:szCs w:val="24"/>
        </w:rPr>
        <w:sym w:font="Wingdings" w:char="F0D8"/>
      </w:r>
      <w:r>
        <w:rPr>
          <w:rFonts w:ascii="Calibri" w:hAnsi="Calibri" w:cs="Calibri"/>
          <w:szCs w:val="24"/>
        </w:rPr>
        <w:t xml:space="preserve"> </w:t>
      </w:r>
      <w:r w:rsidRPr="000F48A9">
        <w:rPr>
          <w:rFonts w:ascii="Calibri" w:hAnsi="Calibri" w:cs="Calibri"/>
          <w:szCs w:val="24"/>
        </w:rPr>
        <w:t>a korábban külön törvényben szabályozott nemzeti adatvagyonra és annak kezelésére vonatkozó  szabályok</w:t>
      </w:r>
    </w:p>
    <w:p w:rsidR="006A3122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Az állami vagyonnal való gazdálkodásról szóló 254/2007. (X. 4.) Korm. rendelet;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8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állami vagyonról szóló törvény (Vtv.) végrehajtási rendelete. A rendelet hatálya a Vtv. hatálya alá tartozó állami vagyonra, az állami vagyonnal kapcsolatos eljárásokra, jogügyletekre, jogviszonyokra, valamint az azokban részt vevő személyekre terjed ki.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</w:rPr>
        <w:t xml:space="preserve">Az államháztartásról szóló </w:t>
      </w:r>
      <w:r w:rsidRPr="000F48A9">
        <w:rPr>
          <w:rFonts w:ascii="Calibri" w:hAnsi="Calibri" w:cs="Calibri"/>
          <w:b/>
          <w:szCs w:val="24"/>
          <w:shd w:val="clear" w:color="auto" w:fill="FFFFFF"/>
        </w:rPr>
        <w:t>2011. évi CXCV. törvény (a továbbiakban: Áht.);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9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A törvényt az Országgyűlés az államháztartás egyensúlyának és a közpénzekkel való áttekinthető, hatékony, ellenőrizhető gazdálkodás garanciáinak megteremtése céljából alkotta meg. A törvény célja, hogy a közfeladatok maradéktalan ellátása érdekében biztosítsa az államháztartás átlátható működési feltételeit. 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10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 w:val="24"/>
          <w:szCs w:val="24"/>
          <w:shd w:val="clear" w:color="auto" w:fill="FFFFFF"/>
        </w:rPr>
        <w:t>Az ÁROP végrehajtása szempontjából a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>z egyik</w:t>
      </w:r>
      <w:r w:rsidRPr="000F48A9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legfontosabb jogszabály,</w:t>
      </w: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 amely meghatározza a költségvetési szervek szervezetét, irányítását, felügyeletét, a létrehozás és megszűnés eseteit, a költségvetési szervek gazdálkodását, a költségvetés és a beszámoló főbb tartalmát, a gazdálkodás és az ellenőrzés szervezetrendszerét, az önkormányzatok gazdálkodási feladatait, támogatásának feltételeit, a működés és támogatás ellenőrzését és elszámolását.</w:t>
      </w:r>
    </w:p>
    <w:p w:rsidR="006A3122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Az államháztartásról szóló törvény végrehajtásáról szóló 368/2011. (XII. 31.) Korm. rendelet;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11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államháztartási törvény végrehajtási rendelete, amely az Áht. rendelkezéseit, az eljárási cselekményeket részletezi.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 xml:space="preserve">A számvitelről szóló 2000. évi C. törvény; 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12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A törvény meghatározza a hatálya alá tartozók beszámolási és könyvvezetési kötelezettségét, a beszámoló összeállítása, a könyvek vezetése során érvényesítendő elveket, az azokra épített szabályokat, valamint a nyilvánosságra hozatalra, a közzétételre és a könyvvizsgálatra vonatkozó követelményeket. A törvény hatálya - </w:t>
      </w:r>
      <w:r>
        <w:rPr>
          <w:rFonts w:ascii="Calibri" w:hAnsi="Calibri" w:cs="Calibri"/>
          <w:sz w:val="24"/>
          <w:szCs w:val="24"/>
          <w:shd w:val="clear" w:color="auto" w:fill="FFFFFF"/>
        </w:rPr>
        <w:t>bizonyos kivételekkel</w:t>
      </w: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 - kiterjed a gazdaság minden olyan résztvevőjére, amelynek működéséről a nemzetgazdaság más szereplői tájékoztatást igényelnek.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13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törvény hatálya alá tartozik a gazdálkodó.</w:t>
      </w:r>
    </w:p>
    <w:p w:rsidR="006A3122" w:rsidRPr="000F48A9" w:rsidRDefault="006A3122" w:rsidP="00117771">
      <w:pPr>
        <w:pStyle w:val="ListParagraph"/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törvény hatálya nem terjed ki az egyéni vállalkozóra, a polgári jogi társaságra, az építőközösségre, továbbá a külföldi székhelyű vállalkozás magyarországi kereskedelmi képviseletére, arra a közkereseti társaságra, betéti társaságra és egyéni cégre, amely az üzleti évben (az adóévben) nyilvántartásait az egyszerűsített vállalkozói adóról szóló, illetve a kisadózó vállalkozások tételes adójáról és a kisvállalati adóról szóló törvény előírásai szerint vezeti.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Az államháztartás számviteléről szóló 4/2013. (I. 11.) Korm. rendelet (hatálybalépés időpontja: 2014. január 1.);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14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 A számviteli törvény (Szt.) általános elvei mentén szabályozza a költségvetési szervek sajátos számviteli feladatait. A költségvetési számvitelben és a pénzügyi számvitelben az Szt-ben meghatározott alapelveket az e rendeletben meghatározott sajátosságokkal kell érvényesíteni. A számviteli alapelveken túl a könyvvezetés és az éves költségvetési beszámoló elkészítése során az Szt. rendelkezéseit csak akkor lehet alkalmazni, ha azt e rendelet kifejezetten elrendeli.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közbeszerzésekről szóló 2011. évi CVIII. törvény;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15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törvény szabályozza a közbeszerzési eljárásokat és az azokhoz kapcsolódó jogorvoslat szabályait a közpénzek ésszerű és hatékony felhasználása és nyilvános ellenőrizhetőségének megteremtése, továbbá a közbeszerzések során a verseny tisztaságának biztosítása érdekében. E törvény és a végrehajtása alapján alkotott jogszabályok célja továbbá a mikro-, kis- és középvállalkozások közbeszerzési eljárásban való részvételének, a fenntartható fejlődés, az állam szociális célkitűzései és a jogszerű foglalkoztatás elősegítése.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16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közbeszerzési eljárásban az ajánlatkérő köteles biztosítani, a gazdasági szereplő pedig tiszteletben tartani a verseny tisztaságát, átláthatóságát és nyilvánosságát.</w:t>
      </w:r>
    </w:p>
    <w:p w:rsidR="006A3122" w:rsidRPr="000F48A9" w:rsidRDefault="006A3122" w:rsidP="00503EA8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503EA8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költségvetési szervek belső kontrollrendszeréről és belső ellenőrzéséről szóló 370/2011. (XII. 31.) Korm. rendelet;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17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rendelet szabályozza a hatálya alá tartozó szervezetek belső kontrollrendszerét és belső ellenőrzési tevékenységét.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18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rendelet hatálya kiterjed: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a) az államháztartásról szóló 2011. évi CXCV. törvény (Áht.) 3. §-ában, felsoroltakra az állam és a költségvetési fejezetet nem alkotó köztestületek kivételével:  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(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1) </w:t>
      </w: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Az államháztartás központi és önkormányzati alrendszerből áll.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(2) Az államháztartás központi alrendszerébe tartozik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a) az állam,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b) a központi költségvetési szerv,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c) a törvény által az államháztartás központi alrendszerébe sorolt köztestület, és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d) a c) pont szerinti köztestület által irányított köztestületi költségvetési szerv.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(3) Az államháztartás önkormányzati alrendszerébe tartozik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a) a helyi önkormányzat,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b) a helyi nemzetiségi önkormányzat és az országos nemzetiségi önkormányzat (a továbbiakban együtt: nemzetiségi önkormányzat),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c) a társulás,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d) a térségi fejlesztési tanács, és</w:t>
      </w:r>
    </w:p>
    <w:p w:rsidR="006A3122" w:rsidRPr="000F48A9" w:rsidRDefault="006A3122" w:rsidP="00503EA8">
      <w:pPr>
        <w:pStyle w:val="ListParagraph"/>
        <w:spacing w:line="264" w:lineRule="auto"/>
        <w:ind w:left="851"/>
        <w:jc w:val="both"/>
        <w:rPr>
          <w:rFonts w:ascii="Calibri" w:hAnsi="Calibri" w:cs="Calibri"/>
          <w:i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i/>
          <w:sz w:val="24"/>
          <w:szCs w:val="24"/>
          <w:shd w:val="clear" w:color="auto" w:fill="FFFFFF"/>
        </w:rPr>
        <w:t>e) az a)-d) pontban foglaltak által irányított helyi önkormányzati, helyi nemzetiségi önkormányzati, országos nemzetiségi önkormányzati költségvetési szerv.)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19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b) a területfejlesztésről és területrendezésről szóló 1996. évi XXI. törvény hatálya alá tartozó jogi személyiségű területfejlesztési tanácsokra és munkaszervezeteikre;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20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c) a a)–b) pontban meghatározott szervek által alapított vagyonkezelő szervezetekre;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21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d) a külön jogszabályban meghatározottakra.</w:t>
      </w:r>
    </w:p>
    <w:p w:rsidR="006A3122" w:rsidRPr="000F48A9" w:rsidRDefault="006A3122" w:rsidP="00503EA8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503EA8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Mindenkor hatályos éves költségvetési törvény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22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Országgyűlés a tárgyévet megelőző év decemberében dönt a következő év költségvetésének feltételeiről, melyben többek között</w:t>
      </w:r>
    </w:p>
    <w:p w:rsidR="006A3122" w:rsidRPr="000F48A9" w:rsidRDefault="006A3122" w:rsidP="00503EA8">
      <w:pPr>
        <w:pStyle w:val="ListParagraph"/>
        <w:numPr>
          <w:ilvl w:val="0"/>
          <w:numId w:val="4"/>
          <w:numberingChange w:id="23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 xml:space="preserve">meghatározza a költségvetési szervek támogatásának jogcímeit, azok összegeit, a közbeszerzési értékhatárokat, </w:t>
      </w:r>
    </w:p>
    <w:p w:rsidR="006A3122" w:rsidRPr="000F48A9" w:rsidRDefault="006A3122" w:rsidP="00503EA8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közszolgálati tisztviselőkről szóló 2011. évi CXCIX. törvény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24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helyi önkormányzat képviselő-testületének polgármesteri hivatala, közterület-felügyelete, a közös önkormányzati hivatala köztisztviselőjének és közszolgálati ügykezelőjének közszolgálati jogviszonyának, a polgármesterre, alpolgármester jogviszonyának egyes kérdéseit szabályozza;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közalkalmazottak jogállásáról szóló 1992. évi XXXIII. törvény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25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helyi önkormányzati költségvetési szerveknél, valamint a helyi önkormányzat által a feladatkörébe tartozó közszolgáltatások ellátására foglalkoztatottak közalkalmazotti jogviszonyát szabályozza;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munka törvénykönyvéről szóló 2012. évi I. törvény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26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közalkalmazottakra vonatkozó joganyag mögöttes joganyaga (amit az előző két jogszabály nem szabályoz, ott ezt kell alkalmazni), illetve az önkormányzatoknál foglalkoztatott munkavállalókra irányadó szabályozás.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munkavédelemről szóló 1993. évi XCIII. törvény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27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egészséget nem veszélyeztető és biztonságos munkavégzés személyi, tárgyi és szervezeti feltételeit meghatározó jogszabály, a szervezetten munkát végzők egészségének, munkavégző képességének megóvása és a munkakörülmények humanizálása érdekében. Tartalmazza a munkabalesetek és a foglalkozással összefüggő megbetegedések megelőzésével kapcsolatban az állam, a munkáltatók és a munkavállalók feladatait, jogait és kötelességeit.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közszolgálati tisztviselők képesítési előírásairól szóló 29/2012. (III. 7.) Korm. rendelet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28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önkormányzatnál foglalkoztatott nem közalkalmazott és nem munkavállalók képzési követelményét határozza meg.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Magyarország Alaptörvénye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29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(szellemi) tulajdonhoz való jog, az információszabadsághoz- és biztonsághoz való jog elismerése.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2013. évi V. törvény a Polgári Törvénykönyvről</w:t>
      </w:r>
    </w:p>
    <w:p w:rsidR="006A3122" w:rsidRDefault="006A3122" w:rsidP="00117771">
      <w:pPr>
        <w:pStyle w:val="ListParagraph"/>
        <w:numPr>
          <w:ilvl w:val="0"/>
          <w:numId w:val="4"/>
          <w:numberingChange w:id="30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szerzői és szomszédjogok részletes szabályozása, védelme</w:t>
      </w:r>
    </w:p>
    <w:p w:rsidR="006A3122" w:rsidRDefault="006A3122" w:rsidP="003E529F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3E529F" w:rsidRDefault="006A3122" w:rsidP="003E529F">
      <w:pPr>
        <w:spacing w:line="276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3E529F">
        <w:rPr>
          <w:rFonts w:ascii="Calibri" w:hAnsi="Calibri" w:cs="Calibri"/>
          <w:b/>
          <w:szCs w:val="24"/>
          <w:shd w:val="clear" w:color="auto" w:fill="FFFFFF"/>
        </w:rPr>
        <w:t>2009. évi CLV. törvény a minősített adat védelméről</w:t>
      </w:r>
    </w:p>
    <w:p w:rsidR="006A3122" w:rsidRPr="003E529F" w:rsidRDefault="006A3122" w:rsidP="003E529F">
      <w:pPr>
        <w:pStyle w:val="ListParagraph"/>
        <w:numPr>
          <w:ilvl w:val="0"/>
          <w:numId w:val="4"/>
          <w:numberingChange w:id="31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minősített adatok körének definiálása, minősített adattá válás, minősített adatok kezelése és védelme (IT biztonság)</w:t>
      </w:r>
    </w:p>
    <w:p w:rsidR="006A3122" w:rsidRDefault="006A3122" w:rsidP="003E529F">
      <w:pPr>
        <w:spacing w:line="276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</w:p>
    <w:p w:rsidR="006A3122" w:rsidRDefault="006A3122" w:rsidP="003E529F">
      <w:pPr>
        <w:spacing w:line="276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3E529F">
        <w:rPr>
          <w:rFonts w:ascii="Calibri" w:hAnsi="Calibri" w:cs="Calibri"/>
          <w:b/>
          <w:szCs w:val="24"/>
          <w:shd w:val="clear" w:color="auto" w:fill="FFFFFF"/>
        </w:rPr>
        <w:t>2013. évi L. törvény az állami és önkormányzati szervek elektronikus információbiztonságáról</w:t>
      </w:r>
    </w:p>
    <w:p w:rsidR="006A3122" w:rsidRPr="003E529F" w:rsidRDefault="006A3122" w:rsidP="003E529F">
      <w:pPr>
        <w:pStyle w:val="ListParagraph"/>
        <w:numPr>
          <w:ilvl w:val="0"/>
          <w:numId w:val="4"/>
          <w:numberingChange w:id="32" w:author="Unknown" w:date="2015-05-18T10:46:00Z" w:original=""/>
        </w:numPr>
        <w:spacing w:line="264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önkormányzati és állami szervek információbiztonsági feladatainak ismertetése (kockázati besorolás, IT infrastruktúra felmérés és regiszter, Információbiztonsági Szabályzat alkotás, Információbiztonsági Stratégia alkotás, Információbiztonsági Politika alkotás, EIR felelősi feladatok ellátása)</w:t>
      </w:r>
    </w:p>
    <w:p w:rsidR="006A3122" w:rsidRPr="003E529F" w:rsidRDefault="006A3122" w:rsidP="003E529F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Az Európai Parlament és a Tanács 2009/24/EK irányelve a számítógépi programok jogi védelméről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33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 számítógépes programok definiálása, védelmének szabályai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Fonts w:ascii="Calibri" w:hAnsi="Calibri" w:cs="Calibri"/>
          <w:b/>
          <w:szCs w:val="24"/>
          <w:shd w:val="clear" w:color="auto" w:fill="FFFFFF"/>
        </w:rPr>
        <w:t>A Parlament és a Tanács 96/9/EK irányelve az adatbázisok jogi védelméről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34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adatbázisok, adatbázis-struktúrák védelméről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  <w:shd w:val="clear" w:color="auto" w:fill="FFFFFF"/>
        </w:rPr>
      </w:pPr>
      <w:r w:rsidRPr="000F48A9">
        <w:rPr>
          <w:rStyle w:val="ff2"/>
          <w:rFonts w:ascii="Calibri" w:hAnsi="Calibri" w:cs="Calibri"/>
          <w:b/>
          <w:szCs w:val="24"/>
        </w:rPr>
        <w:t>2011. évi CXII. törvény</w:t>
      </w:r>
      <w:r w:rsidRPr="000F48A9">
        <w:rPr>
          <w:rStyle w:val="ff3"/>
          <w:rFonts w:ascii="Calibri" w:hAnsi="Calibri" w:cs="Calibri"/>
          <w:b/>
          <w:szCs w:val="24"/>
        </w:rPr>
        <w:t xml:space="preserve"> </w:t>
      </w:r>
      <w:r w:rsidRPr="000F48A9">
        <w:rPr>
          <w:rStyle w:val="ff2"/>
          <w:rFonts w:ascii="Calibri" w:hAnsi="Calibri" w:cs="Calibri"/>
          <w:b/>
          <w:szCs w:val="24"/>
        </w:rPr>
        <w:t>az információs önrendelkezési jogról és az információszabadságról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35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48A9">
        <w:rPr>
          <w:rFonts w:ascii="Calibri" w:hAnsi="Calibri" w:cs="Calibri"/>
          <w:sz w:val="24"/>
          <w:szCs w:val="24"/>
          <w:shd w:val="clear" w:color="auto" w:fill="FFFFFF"/>
        </w:rPr>
        <w:t>az információs önrendelkezési jog és az információszabadság biztosítása érdekében, a személyes adatok védelmét, valamint a közérdekű és a közérdekből nyilvános adatok megismeréséhez és terjesztéséhez való jog érvényesülését szolgáló alapvető szabályok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</w:rPr>
      </w:pPr>
      <w:bookmarkStart w:id="36" w:name="_GoBack"/>
      <w:bookmarkEnd w:id="36"/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</w:rPr>
      </w:pPr>
      <w:r w:rsidRPr="000F48A9">
        <w:rPr>
          <w:rFonts w:ascii="Calibri" w:hAnsi="Calibri" w:cs="Calibri"/>
          <w:b/>
          <w:szCs w:val="24"/>
        </w:rPr>
        <w:t xml:space="preserve">2004. évi CXL. törvény a közigazgatási hatósági eljárás és szolgáltatás általános szabályairól   </w:t>
      </w:r>
    </w:p>
    <w:p w:rsidR="006A3122" w:rsidRPr="000F48A9" w:rsidRDefault="006A3122" w:rsidP="00117771">
      <w:pPr>
        <w:pStyle w:val="ListParagraph"/>
        <w:numPr>
          <w:ilvl w:val="0"/>
          <w:numId w:val="4"/>
          <w:numberingChange w:id="37" w:author="Unknown" w:date="2015-05-18T10:46:00Z" w:original="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0F48A9">
        <w:rPr>
          <w:rFonts w:ascii="Calibri" w:hAnsi="Calibri" w:cs="Calibri"/>
          <w:sz w:val="24"/>
          <w:szCs w:val="24"/>
        </w:rPr>
        <w:t xml:space="preserve">az elektronikus kapcsolattartás közigazgatásban történő alkalmazásának lehetőségei;                         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szCs w:val="24"/>
        </w:rPr>
      </w:pP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</w:rPr>
      </w:pPr>
      <w:r w:rsidRPr="000F48A9">
        <w:rPr>
          <w:rFonts w:ascii="Calibri" w:hAnsi="Calibri" w:cs="Calibri"/>
          <w:b/>
          <w:szCs w:val="24"/>
        </w:rPr>
        <w:t xml:space="preserve">85/2012. (IV. 21.) Korm. rendelet az elektronikus ügyintézés részletes szabályairól               </w:t>
      </w:r>
    </w:p>
    <w:p w:rsidR="006A3122" w:rsidRPr="000F48A9" w:rsidRDefault="006A3122" w:rsidP="00117771">
      <w:pPr>
        <w:spacing w:line="264" w:lineRule="auto"/>
        <w:jc w:val="both"/>
        <w:rPr>
          <w:rFonts w:ascii="Calibri" w:hAnsi="Calibri" w:cs="Calibri"/>
          <w:b/>
          <w:szCs w:val="24"/>
        </w:rPr>
      </w:pPr>
    </w:p>
    <w:p w:rsidR="006A3122" w:rsidRPr="000F48A9" w:rsidRDefault="006A3122" w:rsidP="00503EA8">
      <w:pPr>
        <w:spacing w:line="264" w:lineRule="auto"/>
        <w:jc w:val="both"/>
        <w:rPr>
          <w:rFonts w:ascii="Calibri" w:hAnsi="Calibri" w:cs="Calibri"/>
          <w:szCs w:val="24"/>
          <w:shd w:val="clear" w:color="auto" w:fill="FFFFFF"/>
        </w:rPr>
      </w:pPr>
    </w:p>
    <w:sectPr w:rsidR="006A3122" w:rsidRPr="000F48A9" w:rsidSect="00503E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90E"/>
    <w:multiLevelType w:val="hybridMultilevel"/>
    <w:tmpl w:val="B414D714"/>
    <w:lvl w:ilvl="0" w:tplc="16681B2E">
      <w:start w:val="1"/>
      <w:numFmt w:val="bullet"/>
      <w:lvlText w:val="="/>
      <w:lvlJc w:val="left"/>
      <w:pPr>
        <w:ind w:left="144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F910BF"/>
    <w:multiLevelType w:val="hybridMultilevel"/>
    <w:tmpl w:val="32DED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E2C37"/>
    <w:multiLevelType w:val="hybridMultilevel"/>
    <w:tmpl w:val="DEB435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87A87"/>
    <w:multiLevelType w:val="hybridMultilevel"/>
    <w:tmpl w:val="823CD246"/>
    <w:lvl w:ilvl="0" w:tplc="8C507F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E98"/>
    <w:rsid w:val="000F48A9"/>
    <w:rsid w:val="00117771"/>
    <w:rsid w:val="001351D4"/>
    <w:rsid w:val="00193889"/>
    <w:rsid w:val="001A7F7A"/>
    <w:rsid w:val="001B5ADF"/>
    <w:rsid w:val="00217ABF"/>
    <w:rsid w:val="00232B46"/>
    <w:rsid w:val="00244BC5"/>
    <w:rsid w:val="002D2F9C"/>
    <w:rsid w:val="00342970"/>
    <w:rsid w:val="003B4BA9"/>
    <w:rsid w:val="003D25D6"/>
    <w:rsid w:val="003E529F"/>
    <w:rsid w:val="00503EA8"/>
    <w:rsid w:val="00564768"/>
    <w:rsid w:val="005B70E2"/>
    <w:rsid w:val="005D548A"/>
    <w:rsid w:val="006A3122"/>
    <w:rsid w:val="006A3CC9"/>
    <w:rsid w:val="00716DC1"/>
    <w:rsid w:val="00763039"/>
    <w:rsid w:val="007B0D83"/>
    <w:rsid w:val="007F3470"/>
    <w:rsid w:val="0092380A"/>
    <w:rsid w:val="00A941D5"/>
    <w:rsid w:val="00BB03A2"/>
    <w:rsid w:val="00BD4E05"/>
    <w:rsid w:val="00CB00BC"/>
    <w:rsid w:val="00DF39F9"/>
    <w:rsid w:val="00E17487"/>
    <w:rsid w:val="00E52734"/>
    <w:rsid w:val="00E600F1"/>
    <w:rsid w:val="00F37118"/>
    <w:rsid w:val="00F44C2E"/>
    <w:rsid w:val="00F8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H Sans" w:eastAsia="Calibri" w:hAnsi="KH Sans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98"/>
    <w:pPr>
      <w:spacing w:line="30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7E9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ListParagraphChar">
    <w:name w:val="List Paragraph Char"/>
    <w:aliases w:val="Számozott lista 1 Char,Eszeri felsorolás Char,List Paragraph à moi Char,lista_2 Char,Welt L Char,Dot pt Char,No Spacing1 Char,List Paragraph Char Char Char Char,Indicator Text Char,Numbered Para 1 Char"/>
    <w:link w:val="ListParagraph"/>
    <w:uiPriority w:val="99"/>
    <w:locked/>
    <w:rsid w:val="00F87E98"/>
    <w:rPr>
      <w:rFonts w:ascii="Times New Roman" w:hAnsi="Times New Roman"/>
    </w:rPr>
  </w:style>
  <w:style w:type="paragraph" w:styleId="ListParagraph">
    <w:name w:val="List Paragraph"/>
    <w:aliases w:val="Számozott lista 1,Eszeri felsorolás,List Paragraph à moi,lista_2,Welt L,Dot pt,No Spacing1,List Paragraph Char Char Char,Indicator Text,Numbered Para 1"/>
    <w:basedOn w:val="Normal"/>
    <w:link w:val="ListParagraphChar"/>
    <w:uiPriority w:val="99"/>
    <w:qFormat/>
    <w:rsid w:val="00F87E98"/>
    <w:pPr>
      <w:ind w:left="720"/>
      <w:contextualSpacing/>
    </w:pPr>
    <w:rPr>
      <w:rFonts w:eastAsia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B0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D83"/>
    <w:rPr>
      <w:rFonts w:ascii="Tahoma" w:hAnsi="Tahoma" w:cs="Tahoma"/>
      <w:sz w:val="16"/>
      <w:szCs w:val="16"/>
      <w:lang w:eastAsia="hu-HU"/>
    </w:rPr>
  </w:style>
  <w:style w:type="character" w:customStyle="1" w:styleId="ff2">
    <w:name w:val="ff2"/>
    <w:basedOn w:val="DefaultParagraphFont"/>
    <w:uiPriority w:val="99"/>
    <w:rsid w:val="00117771"/>
    <w:rPr>
      <w:rFonts w:cs="Times New Roman"/>
    </w:rPr>
  </w:style>
  <w:style w:type="character" w:customStyle="1" w:styleId="ff3">
    <w:name w:val="ff3"/>
    <w:basedOn w:val="DefaultParagraphFont"/>
    <w:uiPriority w:val="99"/>
    <w:rsid w:val="0011777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600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00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0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6</Pages>
  <Words>1576</Words>
  <Characters>10881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Alkalmazandó legfontosabb jogszabályok a szervezetfejlesztés és a funkcionális folyamatok szempontjából</dc:title>
  <dc:subject/>
  <dc:creator>Soósné Halmi Ibolya</dc:creator>
  <cp:keywords/>
  <dc:description/>
  <cp:lastModifiedBy>dr. Sulcz Andrea</cp:lastModifiedBy>
  <cp:revision>10</cp:revision>
  <dcterms:created xsi:type="dcterms:W3CDTF">2015-05-18T06:30:00Z</dcterms:created>
  <dcterms:modified xsi:type="dcterms:W3CDTF">2015-05-18T08:47:00Z</dcterms:modified>
</cp:coreProperties>
</file>